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78" w:rsidRPr="00B81FCB" w:rsidRDefault="00162B1B">
      <w:pPr>
        <w:rPr>
          <w:b/>
        </w:rPr>
      </w:pPr>
      <w:r w:rsidRPr="00B81FCB">
        <w:rPr>
          <w:b/>
        </w:rPr>
        <w:t>ISUOG (Starptautiskās Ultrasonogrāfijas dzemdniecībā un ginekoloģijā biedrības) paziņojums par NIPT ietekmi uz ultrasonogrāfijas izmeklēšanu grūtniecēm.</w:t>
      </w:r>
    </w:p>
    <w:p w:rsidR="00162B1B" w:rsidRDefault="00162B1B"/>
    <w:p w:rsidR="00681670" w:rsidRDefault="008C1A08" w:rsidP="00681670">
      <w:pPr>
        <w:ind w:firstLine="720"/>
      </w:pPr>
      <w:r>
        <w:t xml:space="preserve">Pēdējo gadu laikā efektīvu </w:t>
      </w:r>
      <w:proofErr w:type="spellStart"/>
      <w:r w:rsidR="00B81FCB">
        <w:t>bezšūnu</w:t>
      </w:r>
      <w:proofErr w:type="spellEnd"/>
      <w:r>
        <w:t>, uz augļa DNS balstītu 21.</w:t>
      </w:r>
      <w:r w:rsidR="00B81FCB">
        <w:t xml:space="preserve"> hromosomas</w:t>
      </w:r>
      <w:r>
        <w:t xml:space="preserve"> </w:t>
      </w:r>
      <w:proofErr w:type="spellStart"/>
      <w:r>
        <w:t>trisomijas</w:t>
      </w:r>
      <w:proofErr w:type="spellEnd"/>
      <w:r>
        <w:t xml:space="preserve"> un citu </w:t>
      </w:r>
      <w:proofErr w:type="spellStart"/>
      <w:r>
        <w:t>aneiploidiju</w:t>
      </w:r>
      <w:proofErr w:type="spellEnd"/>
      <w:r>
        <w:t xml:space="preserve"> </w:t>
      </w:r>
      <w:proofErr w:type="spellStart"/>
      <w:r>
        <w:t>skrīninga</w:t>
      </w:r>
      <w:proofErr w:type="spellEnd"/>
      <w:r>
        <w:t xml:space="preserve"> testu parādīšanās rezultātā ir paplašinājušās </w:t>
      </w:r>
      <w:proofErr w:type="spellStart"/>
      <w:r>
        <w:t>prenatālo</w:t>
      </w:r>
      <w:proofErr w:type="spellEnd"/>
      <w:r>
        <w:t xml:space="preserve"> diagnostisko testu iespējas. Neinvazīvais </w:t>
      </w:r>
      <w:proofErr w:type="spellStart"/>
      <w:r>
        <w:t>prenatālais</w:t>
      </w:r>
      <w:proofErr w:type="spellEnd"/>
      <w:r>
        <w:t xml:space="preserve"> tests (NIPT) tiek ātri ieviests </w:t>
      </w:r>
      <w:proofErr w:type="spellStart"/>
      <w:r>
        <w:t>prenatālajā</w:t>
      </w:r>
      <w:proofErr w:type="spellEnd"/>
      <w:r>
        <w:t xml:space="preserve"> aprūpē, izmainot tradicionālo pieeju </w:t>
      </w:r>
      <w:proofErr w:type="spellStart"/>
      <w:r>
        <w:t>prenatālajam</w:t>
      </w:r>
      <w:proofErr w:type="spellEnd"/>
      <w:r>
        <w:t xml:space="preserve"> </w:t>
      </w:r>
      <w:proofErr w:type="spellStart"/>
      <w:r>
        <w:t>skrīningam</w:t>
      </w:r>
      <w:proofErr w:type="spellEnd"/>
      <w:r>
        <w:t xml:space="preserve"> un diagnostikai. Lai arī NIPT tehnoloģija ir augsti efektīva</w:t>
      </w:r>
      <w:r w:rsidR="00681670">
        <w:t xml:space="preserve">, šī testa nozīmēšana un loma ir jāizsver kombinācijā ar citām </w:t>
      </w:r>
      <w:proofErr w:type="spellStart"/>
      <w:r w:rsidR="00681670">
        <w:t>skrīninga</w:t>
      </w:r>
      <w:proofErr w:type="spellEnd"/>
      <w:r w:rsidR="00681670">
        <w:t xml:space="preserve"> metodēm. Jo īpaši ir jāpārvērtē </w:t>
      </w:r>
      <w:proofErr w:type="spellStart"/>
      <w:r w:rsidR="00681670">
        <w:t>prenatālās</w:t>
      </w:r>
      <w:proofErr w:type="spellEnd"/>
      <w:r w:rsidR="00681670">
        <w:t xml:space="preserve"> ultrasonogrāfijas loma, tā kā NIPT kļūst arvien plašāk pieejams.</w:t>
      </w:r>
    </w:p>
    <w:p w:rsidR="00162B1B" w:rsidRDefault="008C1A08">
      <w:r>
        <w:t xml:space="preserve"> </w:t>
      </w:r>
      <w:r w:rsidR="00681670">
        <w:tab/>
      </w:r>
      <w:r w:rsidR="00456945">
        <w:t xml:space="preserve">Ir nozīmīgi uzsvērt, ka </w:t>
      </w:r>
      <w:proofErr w:type="spellStart"/>
      <w:r w:rsidR="00456945">
        <w:t>prenatālā</w:t>
      </w:r>
      <w:proofErr w:type="spellEnd"/>
      <w:r w:rsidR="00456945">
        <w:t xml:space="preserve"> </w:t>
      </w:r>
      <w:proofErr w:type="spellStart"/>
      <w:r w:rsidR="00456945">
        <w:t>skrīninga</w:t>
      </w:r>
      <w:proofErr w:type="spellEnd"/>
      <w:r w:rsidR="00456945">
        <w:t xml:space="preserve"> galvenais mērķis ir nodrošināt precīzu informāciju, kas atvieglo optimālas </w:t>
      </w:r>
      <w:proofErr w:type="spellStart"/>
      <w:r w:rsidR="00456945">
        <w:t>antenatālās</w:t>
      </w:r>
      <w:proofErr w:type="spellEnd"/>
      <w:r w:rsidR="00456945">
        <w:t xml:space="preserve"> aprūpes nodrošināšanu, lai</w:t>
      </w:r>
      <w:r w:rsidR="0086014F">
        <w:t xml:space="preserve"> grūtniecības iznākums</w:t>
      </w:r>
      <w:r w:rsidR="00456945">
        <w:t xml:space="preserve"> būtu iespējami labākais gan mātei, gan auglim. Atbilstoši apmācītam veselības aprūpes darbiniekam ir jāinformē sievietes par </w:t>
      </w:r>
      <w:proofErr w:type="spellStart"/>
      <w:r w:rsidR="00456945">
        <w:t>prenatālā</w:t>
      </w:r>
      <w:proofErr w:type="spellEnd"/>
      <w:r w:rsidR="00456945">
        <w:t xml:space="preserve"> </w:t>
      </w:r>
      <w:proofErr w:type="spellStart"/>
      <w:r w:rsidR="00456945">
        <w:t>skrīninga</w:t>
      </w:r>
      <w:proofErr w:type="spellEnd"/>
      <w:r w:rsidR="00456945">
        <w:t xml:space="preserve"> veikšanu, lai viņas varētu pieņemt </w:t>
      </w:r>
      <w:r w:rsidR="00456945" w:rsidRPr="0086014F">
        <w:t>informētu</w:t>
      </w:r>
      <w:r w:rsidR="00456945">
        <w:t xml:space="preserve"> lēmumu. Šādu procedūru veikšana ir vecāku izvēle, un vecāku vēlmes ir jānoskaidro un jārespektē.</w:t>
      </w:r>
    </w:p>
    <w:p w:rsidR="00456945" w:rsidRDefault="0086014F">
      <w:r>
        <w:tab/>
        <w:t>ISUOG ir sastādījusi</w:t>
      </w:r>
      <w:r w:rsidR="00456945">
        <w:t xml:space="preserve"> </w:t>
      </w:r>
      <w:r w:rsidR="00AB6471">
        <w:t>sekojošu paziņojumu, kas turpmāk regulāri tiks atjaunots.</w:t>
      </w:r>
    </w:p>
    <w:p w:rsidR="00AB6471" w:rsidRDefault="00AB6471" w:rsidP="00AB6471">
      <w:pPr>
        <w:pStyle w:val="ListParagraph"/>
        <w:numPr>
          <w:ilvl w:val="0"/>
          <w:numId w:val="1"/>
        </w:numPr>
      </w:pPr>
      <w:r>
        <w:t>Visām sievietēm vispirms ir jāpiedāvā veikt 1. trimestra ultrasonogrāfijas izmeklējumu saskaņā ar ISUOG vadlīnijām neatkarīgi no viņu vēlmes veikt NIPT.</w:t>
      </w:r>
    </w:p>
    <w:p w:rsidR="00AB6471" w:rsidRDefault="00AB6471" w:rsidP="00AB6471">
      <w:pPr>
        <w:pStyle w:val="ListParagraph"/>
        <w:numPr>
          <w:ilvl w:val="0"/>
          <w:numId w:val="1"/>
        </w:numPr>
      </w:pPr>
      <w:r>
        <w:t>Ir nepieciešama pirms testa konsultācija. Sievietēm skaidri ir jāizstāsta dažādi varianti, apspriežot plusus un mīnusus, ieskaitot testu norisi un potenciālos blakus efektus.</w:t>
      </w:r>
    </w:p>
    <w:p w:rsidR="00AB6471" w:rsidRDefault="00AB6471" w:rsidP="00AB6471">
      <w:pPr>
        <w:pStyle w:val="ListParagraph"/>
        <w:numPr>
          <w:ilvl w:val="0"/>
          <w:numId w:val="1"/>
        </w:numPr>
      </w:pPr>
      <w:r>
        <w:t xml:space="preserve">Sievietēm, kurām ir normāla agrīnas grūtniecības ultrasonogrāfija, kā definēts ISUOG vadlīnijās, ir jāapsver trīs varianti, ja sieviete vēlas tālāk izvērtēt 21., 13. un 18. hromosomu </w:t>
      </w:r>
      <w:proofErr w:type="spellStart"/>
      <w:r>
        <w:t>trisomijas</w:t>
      </w:r>
      <w:proofErr w:type="spellEnd"/>
      <w:r>
        <w:t xml:space="preserve"> risku:</w:t>
      </w:r>
    </w:p>
    <w:p w:rsidR="00AB6471" w:rsidRDefault="00AB6471" w:rsidP="00AB6471">
      <w:pPr>
        <w:pStyle w:val="ListParagraph"/>
        <w:numPr>
          <w:ilvl w:val="1"/>
          <w:numId w:val="1"/>
        </w:numPr>
      </w:pPr>
      <w:proofErr w:type="spellStart"/>
      <w:r>
        <w:t>Skrīnings</w:t>
      </w:r>
      <w:proofErr w:type="spellEnd"/>
      <w:r>
        <w:t xml:space="preserve"> balstoties uz individuālo risku, kas tiek aprēķināts, ņemot vērā mātes vecumu, augļa kakla krokas mērījumu un/vai seruma marķierus un/vai citus ultrasonogrāfijas marķierus pirmajā trimestrī (auglim, kura CRL ir 45-84mm)</w:t>
      </w:r>
    </w:p>
    <w:p w:rsidR="00AB6471" w:rsidRDefault="00AB6471" w:rsidP="00AB6471">
      <w:pPr>
        <w:ind w:left="1440"/>
      </w:pPr>
      <w:r>
        <w:t xml:space="preserve">Šobrīd ISUOG atbalsta šo stratēģiju. Pēc šāda </w:t>
      </w:r>
      <w:proofErr w:type="spellStart"/>
      <w:r>
        <w:t>skrīninga</w:t>
      </w:r>
      <w:proofErr w:type="spellEnd"/>
      <w:r>
        <w:t xml:space="preserve"> siev</w:t>
      </w:r>
      <w:r w:rsidR="00DB5B19">
        <w:t xml:space="preserve">ietēm var tikt piedāvāta izvēle neveikt tālākus izmeklējumus, veikt NIPT vai veikt invazīvās diagnostikas metodes, ņemot vērā viņu aprēķināto individuālo risku. </w:t>
      </w:r>
    </w:p>
    <w:p w:rsidR="00AB6471" w:rsidRDefault="00DB5B19" w:rsidP="00AB6471">
      <w:pPr>
        <w:pStyle w:val="ListParagraph"/>
        <w:numPr>
          <w:ilvl w:val="1"/>
          <w:numId w:val="1"/>
        </w:numPr>
      </w:pPr>
      <w:r>
        <w:t xml:space="preserve">Invazīva izmeklēšana, balstoties uz kopējo risku (iekļaujot, piemēram, mātes vecumu un </w:t>
      </w:r>
      <w:proofErr w:type="spellStart"/>
      <w:r>
        <w:t>aneiploīdiju</w:t>
      </w:r>
      <w:proofErr w:type="spellEnd"/>
      <w:r>
        <w:t xml:space="preserve"> </w:t>
      </w:r>
      <w:proofErr w:type="spellStart"/>
      <w:r>
        <w:t>anamnēzē</w:t>
      </w:r>
      <w:proofErr w:type="spellEnd"/>
      <w:r>
        <w:t>) bez individuāla riska aprēķina.</w:t>
      </w:r>
    </w:p>
    <w:p w:rsidR="00DB5B19" w:rsidRDefault="00DB5B19" w:rsidP="00AB6471">
      <w:pPr>
        <w:pStyle w:val="ListParagraph"/>
        <w:numPr>
          <w:ilvl w:val="1"/>
          <w:numId w:val="1"/>
        </w:numPr>
      </w:pPr>
      <w:r>
        <w:t xml:space="preserve">NIPT kā pirmās izvēles </w:t>
      </w:r>
      <w:proofErr w:type="spellStart"/>
      <w:r>
        <w:t>skrīninga</w:t>
      </w:r>
      <w:proofErr w:type="spellEnd"/>
      <w:r>
        <w:t xml:space="preserve"> tests.</w:t>
      </w:r>
    </w:p>
    <w:p w:rsidR="00DB5B19" w:rsidRDefault="00DB5B19" w:rsidP="00DB5B19">
      <w:pPr>
        <w:pStyle w:val="ListParagraph"/>
        <w:ind w:left="1440"/>
      </w:pPr>
      <w:r>
        <w:t>Lielākā daļa šobrīd esošo vadlīniju atbalsta NIPT veikšanu tikai augsta riska grūtniecēm, par kurām ir attiecīgi dati. Atbalstīt izmantot NIPT kā plaši pieejamu opciju vidēja un zema riska pacientēm varētu būt</w:t>
      </w:r>
      <w:r w:rsidR="0094389E">
        <w:t xml:space="preserve"> iespējams, kad parādīsies jauni dati par šo testu un kad NIPT izmaksas samazināsies.</w:t>
      </w:r>
    </w:p>
    <w:p w:rsidR="0094389E" w:rsidRDefault="0094389E" w:rsidP="0094389E">
      <w:pPr>
        <w:pStyle w:val="ListParagraph"/>
        <w:numPr>
          <w:ilvl w:val="0"/>
          <w:numId w:val="4"/>
        </w:numPr>
      </w:pPr>
      <w:r>
        <w:lastRenderedPageBreak/>
        <w:t>NIPT nav diagnostisks tests, un izmainītu rezultātu gadījumā ir nepieciešama apstiprinoša invazīva diagnostika.</w:t>
      </w:r>
    </w:p>
    <w:p w:rsidR="0094389E" w:rsidRDefault="0094389E" w:rsidP="0094389E">
      <w:pPr>
        <w:pStyle w:val="ListParagraph"/>
        <w:numPr>
          <w:ilvl w:val="0"/>
          <w:numId w:val="4"/>
        </w:numPr>
      </w:pPr>
      <w:r>
        <w:t xml:space="preserve">NIPT nav pietiekami izvērtēts zema riska populācijā, kur tā </w:t>
      </w:r>
      <w:r w:rsidR="00C41C64">
        <w:t>pozitīvā paredzošā vērtība</w:t>
      </w:r>
      <w:r>
        <w:t xml:space="preserve"> ir zemāka kā augsta riska populācijā.</w:t>
      </w:r>
    </w:p>
    <w:p w:rsidR="0094389E" w:rsidRDefault="0094389E" w:rsidP="0094389E">
      <w:pPr>
        <w:pStyle w:val="ListParagraph"/>
        <w:numPr>
          <w:ilvl w:val="0"/>
          <w:numId w:val="4"/>
        </w:numPr>
      </w:pPr>
      <w:r>
        <w:t xml:space="preserve">Sievietēm, kas ir jau saņēmušas neizmainītu-normālu NIPT atbildi, nav nepieciešams veikt pirmā trimestra riska aprēķinu 21., 18. un 13. </w:t>
      </w:r>
      <w:proofErr w:type="spellStart"/>
      <w:r>
        <w:t>trisomijām</w:t>
      </w:r>
      <w:proofErr w:type="spellEnd"/>
      <w:r>
        <w:t>, balstoties uz kakla krokas mērījumu un mātes bioķīmiju.</w:t>
      </w:r>
    </w:p>
    <w:p w:rsidR="0094389E" w:rsidRDefault="0094389E" w:rsidP="0094389E">
      <w:pPr>
        <w:pStyle w:val="ListParagraph"/>
        <w:numPr>
          <w:ilvl w:val="0"/>
          <w:numId w:val="4"/>
        </w:numPr>
      </w:pPr>
      <w:r>
        <w:t xml:space="preserve">NIPT var tikt apspriests kā alternatīva invazīvai izmeklēšanai pēc kombinētā </w:t>
      </w:r>
      <w:proofErr w:type="spellStart"/>
      <w:r>
        <w:t>skrīninga</w:t>
      </w:r>
      <w:proofErr w:type="spellEnd"/>
      <w:r>
        <w:t xml:space="preserve"> izmainītu rezultātu saņemšanas vai tikt piedāvāts pacientiem, kurus nepārliecina vidēja riska rezultāts aprēķinos.</w:t>
      </w:r>
    </w:p>
    <w:p w:rsidR="0094389E" w:rsidRDefault="0094389E" w:rsidP="0094389E">
      <w:pPr>
        <w:pStyle w:val="ListParagraph"/>
        <w:numPr>
          <w:ilvl w:val="0"/>
          <w:numId w:val="4"/>
        </w:numPr>
      </w:pPr>
      <w:r>
        <w:t xml:space="preserve">NIPT loma kā alternatīvam izmeklējumam invazīvām metodēm </w:t>
      </w:r>
      <w:r w:rsidR="00C41C64">
        <w:t xml:space="preserve">sievietēm, kuras ir ļoti augsta riska grupā (&gt;1:10) pēc kombinētā </w:t>
      </w:r>
      <w:proofErr w:type="spellStart"/>
      <w:r w:rsidR="00C41C64">
        <w:t>skrīninga</w:t>
      </w:r>
      <w:proofErr w:type="spellEnd"/>
      <w:r w:rsidR="00C41C64">
        <w:t xml:space="preserve">, bet bez redzamas attīstības anomālijas ultrasonogrāfijā, ir jāizvērtē </w:t>
      </w:r>
      <w:proofErr w:type="spellStart"/>
      <w:r w:rsidR="00C41C64">
        <w:t>prospektīvos</w:t>
      </w:r>
      <w:proofErr w:type="spellEnd"/>
      <w:r w:rsidR="00C41C64">
        <w:t xml:space="preserve"> pētījumos. Eksperti šobrīd pārstāv viedokli, ka NIPT nevajadzētu aizvietot invazīvo diagnostiku šajā grupā.</w:t>
      </w:r>
      <w:r w:rsidR="00D73441">
        <w:t xml:space="preserve"> Tas balstās uz faktu, ka tikai 70% </w:t>
      </w:r>
      <w:proofErr w:type="spellStart"/>
      <w:r w:rsidR="00D73441">
        <w:t>hromosomālu</w:t>
      </w:r>
      <w:proofErr w:type="spellEnd"/>
      <w:r w:rsidR="00D73441">
        <w:t xml:space="preserve"> anomāliju šajā populācijā ir 21., 18. vai 13. hromosomas </w:t>
      </w:r>
      <w:proofErr w:type="spellStart"/>
      <w:r w:rsidR="00D73441">
        <w:t>trisomijas</w:t>
      </w:r>
      <w:proofErr w:type="spellEnd"/>
      <w:r w:rsidR="00D73441">
        <w:t>. Turklāt jaunās</w:t>
      </w:r>
      <w:r w:rsidR="00AB5F39">
        <w:t xml:space="preserve"> </w:t>
      </w:r>
      <w:proofErr w:type="spellStart"/>
      <w:r w:rsidR="00AB5F39">
        <w:t>mikročipu</w:t>
      </w:r>
      <w:proofErr w:type="spellEnd"/>
      <w:r w:rsidR="00D73441">
        <w:t xml:space="preserve"> </w:t>
      </w:r>
      <w:r w:rsidR="00AB5F39">
        <w:t>(</w:t>
      </w:r>
      <w:proofErr w:type="spellStart"/>
      <w:r w:rsidR="00D73441">
        <w:rPr>
          <w:i/>
        </w:rPr>
        <w:t>microarray</w:t>
      </w:r>
      <w:proofErr w:type="spellEnd"/>
      <w:r w:rsidR="00AB5F39">
        <w:rPr>
          <w:i/>
        </w:rPr>
        <w:t>)</w:t>
      </w:r>
      <w:r w:rsidR="00D73441">
        <w:t xml:space="preserve"> tehnoloģijas var nodrošināt papildus klīniski nozīmīgu informāciju dažos gadījumos.</w:t>
      </w:r>
    </w:p>
    <w:p w:rsidR="00D73441" w:rsidRDefault="00D73441" w:rsidP="0094389E">
      <w:pPr>
        <w:pStyle w:val="ListParagraph"/>
        <w:numPr>
          <w:ilvl w:val="0"/>
          <w:numId w:val="4"/>
        </w:numPr>
      </w:pPr>
      <w:r>
        <w:t>Augļa strukturālas attīstības anomālijas gadījumā, ja iepriekš bijis normāls NIPT rezultāts, jebkurā gadījumā būtu jānosaka augļa kariotips un/vai</w:t>
      </w:r>
      <w:r w:rsidR="00AB5F39">
        <w:t xml:space="preserve"> jāveic </w:t>
      </w:r>
      <w:proofErr w:type="spellStart"/>
      <w:r w:rsidR="00AB5F39">
        <w:t>mikročipu</w:t>
      </w:r>
      <w:proofErr w:type="spellEnd"/>
      <w:r>
        <w:t xml:space="preserve"> </w:t>
      </w:r>
      <w:r w:rsidR="00AB5F39">
        <w:t>(</w:t>
      </w:r>
      <w:proofErr w:type="spellStart"/>
      <w:r>
        <w:rPr>
          <w:i/>
        </w:rPr>
        <w:t>microarray</w:t>
      </w:r>
      <w:proofErr w:type="spellEnd"/>
      <w:r w:rsidR="00AB5F39">
        <w:rPr>
          <w:i/>
        </w:rPr>
        <w:t>)</w:t>
      </w:r>
      <w:r>
        <w:rPr>
          <w:i/>
        </w:rPr>
        <w:t xml:space="preserve"> </w:t>
      </w:r>
      <w:r>
        <w:t>izmeklēšana.</w:t>
      </w:r>
    </w:p>
    <w:p w:rsidR="00D73441" w:rsidRDefault="00D73441" w:rsidP="0094389E">
      <w:pPr>
        <w:pStyle w:val="ListParagraph"/>
        <w:numPr>
          <w:ilvl w:val="0"/>
          <w:numId w:val="4"/>
        </w:numPr>
      </w:pPr>
      <w:r>
        <w:t>NIPT precizitāte dvīņu grūtniecības gadījumā ir jāturpina pētīt.</w:t>
      </w:r>
    </w:p>
    <w:p w:rsidR="00D73441" w:rsidRDefault="00D73441" w:rsidP="0094389E">
      <w:pPr>
        <w:pStyle w:val="ListParagraph"/>
        <w:numPr>
          <w:ilvl w:val="0"/>
          <w:numId w:val="4"/>
        </w:numPr>
      </w:pPr>
      <w:r>
        <w:t xml:space="preserve">Tā sauktā „ģenētiskā ultrasonogrāfija”, kas ietver 21. hromosomas </w:t>
      </w:r>
      <w:proofErr w:type="spellStart"/>
      <w:r>
        <w:t>trisomijas</w:t>
      </w:r>
      <w:proofErr w:type="spellEnd"/>
      <w:r>
        <w:t xml:space="preserve"> „maigo” marķieru meklēšanu nav jāveic sievietēm, kurām ir normāli NIPT rezultāti, jo šādai ultrasonogrāfijai ir augsts viltus pozitīvo gadījumu skaits un zema pozitīvā paredzošā vērtība.</w:t>
      </w:r>
    </w:p>
    <w:p w:rsidR="00D73441" w:rsidRDefault="00D73441" w:rsidP="0094389E">
      <w:pPr>
        <w:pStyle w:val="ListParagraph"/>
        <w:numPr>
          <w:ilvl w:val="0"/>
          <w:numId w:val="4"/>
        </w:numPr>
      </w:pPr>
      <w:r>
        <w:t xml:space="preserve">Kļūst tehniski iespējams veikt neinvazīvus testus ne vien </w:t>
      </w:r>
      <w:proofErr w:type="spellStart"/>
      <w:r>
        <w:t>trisomiju</w:t>
      </w:r>
      <w:proofErr w:type="spellEnd"/>
      <w:r>
        <w:t xml:space="preserve"> noteikšanai, bet arī citu ģenētisku sindromu noteikšanai.</w:t>
      </w:r>
      <w:r w:rsidR="006B29E8">
        <w:t xml:space="preserve"> Gan veselības aprūpes speciālistiem, gan sievietēm ir jābūt skaidrībai par to, kādi testi un kā tiek veikti, jo vairāku testu veikšana var palielināt viltus pozitīvo rezultātu skaitu.</w:t>
      </w:r>
    </w:p>
    <w:p w:rsidR="006B29E8" w:rsidRDefault="006B29E8" w:rsidP="0094389E">
      <w:pPr>
        <w:pStyle w:val="ListParagraph"/>
        <w:numPr>
          <w:ilvl w:val="0"/>
          <w:numId w:val="4"/>
        </w:numPr>
      </w:pPr>
      <w:r>
        <w:t xml:space="preserve">Neatliekami būtu jāveic </w:t>
      </w:r>
      <w:proofErr w:type="spellStart"/>
      <w:r>
        <w:t>prospektīvi</w:t>
      </w:r>
      <w:proofErr w:type="spellEnd"/>
      <w:r>
        <w:t xml:space="preserve">, valsts finansēti pētījumi, kas noteiktu izmaksu efektivitāti dažādām </w:t>
      </w:r>
      <w:proofErr w:type="spellStart"/>
      <w:r>
        <w:t>skrīninga</w:t>
      </w:r>
      <w:proofErr w:type="spellEnd"/>
      <w:r>
        <w:t xml:space="preserve"> stratēģijām.</w:t>
      </w:r>
    </w:p>
    <w:sectPr w:rsidR="006B29E8" w:rsidSect="00F71F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2437"/>
    <w:multiLevelType w:val="hybridMultilevel"/>
    <w:tmpl w:val="EA5EDA92"/>
    <w:lvl w:ilvl="0" w:tplc="0426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0B62DBE"/>
    <w:multiLevelType w:val="hybridMultilevel"/>
    <w:tmpl w:val="021EB298"/>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2">
    <w:nsid w:val="3BF14D6F"/>
    <w:multiLevelType w:val="hybridMultilevel"/>
    <w:tmpl w:val="BFEE8E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DAE4C67"/>
    <w:multiLevelType w:val="hybridMultilevel"/>
    <w:tmpl w:val="C150AEA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162B1B"/>
    <w:rsid w:val="00162B1B"/>
    <w:rsid w:val="00456945"/>
    <w:rsid w:val="00681670"/>
    <w:rsid w:val="006B29E8"/>
    <w:rsid w:val="00751486"/>
    <w:rsid w:val="0086014F"/>
    <w:rsid w:val="008C1A08"/>
    <w:rsid w:val="0094389E"/>
    <w:rsid w:val="00AB5F39"/>
    <w:rsid w:val="00AB6471"/>
    <w:rsid w:val="00B257EB"/>
    <w:rsid w:val="00B81FCB"/>
    <w:rsid w:val="00C41C64"/>
    <w:rsid w:val="00D73441"/>
    <w:rsid w:val="00DB5B19"/>
    <w:rsid w:val="00E7059C"/>
    <w:rsid w:val="00F71F2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3744</TotalTime>
  <Pages>2</Pages>
  <Words>3118</Words>
  <Characters>1778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2016-05-19T10:14:00Z</dcterms:created>
  <dcterms:modified xsi:type="dcterms:W3CDTF">2016-05-22T17:03:00Z</dcterms:modified>
</cp:coreProperties>
</file>